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4DDE" w14:textId="61CEE020" w:rsidR="00E634CC" w:rsidRPr="006370CF" w:rsidRDefault="00E634CC">
      <w:pPr>
        <w:tabs>
          <w:tab w:val="center" w:pos="4680"/>
        </w:tabs>
        <w:jc w:val="center"/>
        <w:bidi/>
        <w:rPr>
          <w:b/>
          <w:rFonts w:ascii="Times New Roman" w:hAnsi="Times New Roman" w:hint="cs" w:cs="Arial"/>
          <w:rtl/>
        </w:rPr>
      </w:pPr>
      <w:r>
        <w:rPr>
          <w:b/>
          <w:rFonts w:ascii="Times New Roman" w:hAnsi="Times New Roman" w:hint="cs" w:cs="Arial"/>
          <w:rtl/>
        </w:rPr>
        <w:t xml:space="preserve">إشعار من اتحاد مقاطعة سان دييغو بعقد جلسة استماع عامة وإشعار بالتوافر</w:t>
      </w:r>
    </w:p>
    <w:p w14:paraId="5A774DDF" w14:textId="77777777" w:rsidR="00E634CC" w:rsidRPr="00782AC6" w:rsidRDefault="00E634CC">
      <w:pPr>
        <w:tabs>
          <w:tab w:val="center" w:pos="4680"/>
        </w:tabs>
        <w:jc w:val="center"/>
        <w:rPr>
          <w:rFonts w:ascii="Times New Roman" w:hAnsi="Times New Roman"/>
          <w:b/>
          <w:sz w:val="20"/>
        </w:rPr>
      </w:pPr>
    </w:p>
    <w:p w14:paraId="5A774DE0" w14:textId="3141BE45" w:rsidR="00577B82" w:rsidRDefault="00577B82">
      <w:pPr>
        <w:tabs>
          <w:tab w:val="center" w:pos="4680"/>
        </w:tabs>
        <w:jc w:val="center"/>
        <w:bidi/>
        <w:rPr>
          <w:b/>
          <w:rFonts w:ascii="Times New Roman" w:hAnsi="Times New Roman" w:hint="cs" w:cs="Arial"/>
          <w:rtl/>
        </w:rPr>
      </w:pPr>
      <w:r>
        <w:rPr>
          <w:b/>
          <w:rFonts w:ascii="Times New Roman" w:hAnsi="Times New Roman" w:hint="cs" w:cs="Arial"/>
          <w:rtl/>
        </w:rPr>
        <w:t xml:space="preserve">اتحاد مقاطعة سان دييغو</w:t>
      </w:r>
    </w:p>
    <w:p w14:paraId="4D230CD7" w14:textId="77777777" w:rsidR="00497DDA" w:rsidRDefault="00CA0E29" w:rsidP="00172EB0">
      <w:pPr>
        <w:tabs>
          <w:tab w:val="center" w:pos="4680"/>
        </w:tabs>
        <w:jc w:val="center"/>
        <w:bidi/>
        <w:rPr>
          <w:b/>
          <w:rFonts w:ascii="Times New Roman" w:hAnsi="Times New Roman" w:hint="cs" w:cs="Arial"/>
          <w:rtl/>
        </w:rPr>
      </w:pPr>
      <w:r>
        <w:rPr>
          <w:b/>
          <w:rFonts w:ascii="Times New Roman" w:hAnsi="Times New Roman" w:hint="cs" w:cs="Arial"/>
          <w:rtl/>
        </w:rPr>
        <w:t xml:space="preserve">الخطة الموحدة للأعوام </w:t>
      </w:r>
      <w:r>
        <w:rPr>
          <w:b/>
          <w:rFonts w:ascii="Times New Roman" w:hAnsi="Times New Roman" w:hint="cs" w:cs="Arial"/>
          <w:rtl/>
        </w:rPr>
        <w:t xml:space="preserve">2025-</w:t>
      </w:r>
      <w:r>
        <w:rPr>
          <w:b/>
          <w:rFonts w:ascii="Times New Roman" w:hAnsi="Times New Roman" w:hint="cs" w:cs="Arial"/>
          <w:rtl/>
        </w:rPr>
        <w:t xml:space="preserve">2029</w:t>
      </w:r>
    </w:p>
    <w:p w14:paraId="41CC1694" w14:textId="1636BDFB" w:rsidR="00BF6490" w:rsidRDefault="00F35797" w:rsidP="00172EB0">
      <w:pPr>
        <w:tabs>
          <w:tab w:val="center" w:pos="4680"/>
        </w:tabs>
        <w:jc w:val="center"/>
        <w:bidi/>
        <w:rPr>
          <w:b/>
          <w:rFonts w:ascii="Times New Roman" w:hAnsi="Times New Roman" w:hint="cs" w:cs="Arial"/>
          <w:rtl/>
        </w:rPr>
      </w:pPr>
      <w:r>
        <w:rPr>
          <w:b/>
          <w:rFonts w:ascii="Times New Roman" w:hAnsi="Times New Roman" w:hint="cs" w:cs="Arial"/>
          <w:rtl/>
        </w:rPr>
        <w:t xml:space="preserve">الخطة السنوية للأعوام </w:t>
      </w:r>
      <w:r>
        <w:rPr>
          <w:b/>
          <w:rFonts w:ascii="Times New Roman" w:hAnsi="Times New Roman" w:hint="cs" w:cs="Arial"/>
          <w:rtl/>
        </w:rPr>
        <w:t xml:space="preserve">2025-</w:t>
      </w:r>
      <w:r>
        <w:rPr>
          <w:b/>
          <w:rFonts w:ascii="Times New Roman" w:hAnsi="Times New Roman" w:hint="cs" w:cs="Arial"/>
          <w:rtl/>
        </w:rPr>
        <w:t xml:space="preserve">2026</w:t>
      </w:r>
    </w:p>
    <w:p w14:paraId="5A774DE3" w14:textId="44DF62A9" w:rsidR="00E634CC" w:rsidRPr="00782AC6" w:rsidRDefault="00E634CC">
      <w:pPr>
        <w:tabs>
          <w:tab w:val="center" w:pos="4680"/>
        </w:tabs>
        <w:jc w:val="center"/>
        <w:rPr>
          <w:rFonts w:ascii="Times New Roman" w:hAnsi="Times New Roman"/>
          <w:b/>
          <w:sz w:val="20"/>
        </w:rPr>
      </w:pPr>
    </w:p>
    <w:p w14:paraId="5A774DE4" w14:textId="77777777" w:rsidR="00E634CC" w:rsidRDefault="00E634CC">
      <w:pPr>
        <w:pStyle w:val="BodyText"/>
        <w:bidi/>
        <w:rPr>
          <w:rFonts w:hint="cs"/>
          <w:rtl/>
        </w:rPr>
      </w:pPr>
      <w:r>
        <w:rPr>
          <w:rFonts w:hint="cs"/>
          <w:rtl/>
        </w:rPr>
        <w:t xml:space="preserve">الموارد المالية لبرنامج منحة التنمية المجتمعية (</w:t>
      </w:r>
      <w:r>
        <w:t xml:space="preserve">CDBG)</w:t>
      </w:r>
      <w:r>
        <w:rPr>
          <w:rFonts w:hint="cs"/>
          <w:rtl/>
        </w:rPr>
        <w:t xml:space="preserve">، وبرنامج شراكات الاستثمار في المساكن (</w:t>
      </w:r>
      <w:r>
        <w:t xml:space="preserve">HOME)</w:t>
      </w:r>
      <w:r>
        <w:rPr>
          <w:rFonts w:hint="cs"/>
          <w:rtl/>
        </w:rPr>
        <w:t xml:space="preserve">، وبرنامج منح حلول الطوارئ (</w:t>
      </w:r>
      <w:r>
        <w:t xml:space="preserve">ESG)</w:t>
      </w:r>
      <w:r>
        <w:rPr>
          <w:rFonts w:hint="cs"/>
          <w:rtl/>
        </w:rPr>
        <w:t xml:space="preserve">، وبرنامج الإسكان للمصابين بفيروس نقص المناعة البشرية/الإيدز (</w:t>
      </w:r>
      <w:r>
        <w:t xml:space="preserve">HOPWA</w:t>
      </w:r>
      <w:r>
        <w:rPr>
          <w:rFonts w:hint="cs"/>
          <w:rtl/>
        </w:rPr>
        <w:t xml:space="preserve">)</w:t>
      </w:r>
    </w:p>
    <w:p w14:paraId="5A774DE6" w14:textId="77777777" w:rsidR="003870DA" w:rsidRPr="00782AC6" w:rsidRDefault="003870DA">
      <w:pPr>
        <w:pStyle w:val="BodyText"/>
        <w:rPr>
          <w:sz w:val="22"/>
          <w:szCs w:val="22"/>
        </w:rPr>
      </w:pPr>
    </w:p>
    <w:p w14:paraId="5A774DE7" w14:textId="18F00E93" w:rsidR="00836794" w:rsidRDefault="00E634CC">
      <w:pPr>
        <w:jc w:val="both"/>
        <w:bidi/>
        <w:rPr>
          <w:rFonts w:ascii="Times New Roman" w:hAnsi="Times New Roman" w:hint="cs" w:cs="Arial"/>
          <w:rtl/>
        </w:rPr>
      </w:pPr>
      <w:r>
        <w:rPr>
          <w:rFonts w:ascii="Times New Roman" w:hAnsi="Times New Roman" w:hint="cs" w:cs="Arial"/>
          <w:rtl/>
        </w:rPr>
        <w:t xml:space="preserve">يُعلن بموجب هذا أن مجلس المشرفين سيعقد جلسة استماع علنية في </w:t>
      </w:r>
      <w:r>
        <w:rPr>
          <w:rFonts w:ascii="Times New Roman" w:hAnsi="Times New Roman" w:hint="cs" w:cs="Arial"/>
          <w:rtl/>
        </w:rPr>
        <w:t xml:space="preserve">11 مارس </w:t>
      </w:r>
      <w:r>
        <w:rPr>
          <w:rFonts w:ascii="Times New Roman" w:hAnsi="Times New Roman" w:hint="cs" w:cs="Arial"/>
          <w:rtl/>
        </w:rPr>
        <w:t xml:space="preserve">2025، الساعة </w:t>
      </w:r>
      <w:r>
        <w:rPr>
          <w:rFonts w:ascii="Times New Roman" w:hAnsi="Times New Roman" w:hint="cs" w:cs="Arial"/>
          <w:rtl/>
        </w:rPr>
        <w:t xml:space="preserve">9:00 صباحًا في الغرفة </w:t>
      </w:r>
      <w:r>
        <w:rPr>
          <w:rFonts w:ascii="Times New Roman" w:hAnsi="Times New Roman" w:hint="cs" w:cs="Arial"/>
          <w:rtl/>
        </w:rPr>
        <w:t xml:space="preserve">310 بمركز إدارة المقاطعة، الكائن في </w:t>
      </w:r>
      <w:r>
        <w:rPr>
          <w:rFonts w:ascii="Times New Roman" w:hAnsi="Times New Roman" w:hint="cs" w:cs="Arial"/>
          <w:rtl/>
        </w:rPr>
        <w:t xml:space="preserve">1600 </w:t>
      </w:r>
      <w:r>
        <w:rPr>
          <w:rFonts w:ascii="Times New Roman" w:hAnsi="Times New Roman" w:cs="Arial"/>
        </w:rPr>
        <w:t xml:space="preserve">Pacific Highway, San Diego, CA</w:t>
      </w:r>
      <w:r>
        <w:rPr>
          <w:rFonts w:ascii="Times New Roman" w:hAnsi="Times New Roman" w:hint="cs" w:cs="Arial"/>
          <w:rtl/>
        </w:rPr>
        <w:t xml:space="preserve">، للنظر في الخطة الموحدة للسنوات المالية </w:t>
      </w:r>
      <w:r>
        <w:rPr>
          <w:rFonts w:ascii="Times New Roman" w:hAnsi="Times New Roman" w:hint="cs" w:cs="Arial"/>
          <w:rtl/>
        </w:rPr>
        <w:t xml:space="preserve">2025-</w:t>
      </w:r>
      <w:r>
        <w:rPr>
          <w:rFonts w:ascii="Times New Roman" w:hAnsi="Times New Roman" w:hint="cs" w:cs="Arial"/>
          <w:rtl/>
        </w:rPr>
        <w:t xml:space="preserve">2029 والخطة السنوية للعام المالي </w:t>
      </w:r>
      <w:r>
        <w:rPr>
          <w:rFonts w:ascii="Times New Roman" w:hAnsi="Times New Roman" w:hint="cs" w:cs="Arial"/>
          <w:rtl/>
        </w:rPr>
        <w:t xml:space="preserve">2025-</w:t>
      </w:r>
      <w:r>
        <w:rPr>
          <w:rFonts w:ascii="Times New Roman" w:hAnsi="Times New Roman" w:hint="cs" w:cs="Arial"/>
          <w:rtl/>
        </w:rPr>
        <w:t xml:space="preserve">2026. وسيقوم المجلس بدراسة الاستخدام المقترح للمبالغ التقديرية التالية: </w:t>
      </w:r>
      <w:r>
        <w:rPr>
          <w:rFonts w:ascii="Times New Roman" w:hAnsi="Times New Roman" w:hint="cs" w:cs="Arial"/>
          <w:rtl/>
        </w:rPr>
        <w:t xml:space="preserve">4,283,065 دولارًا من الموارد المالية الخاصة ببرنامج منحة التنمية المجتمعية (</w:t>
      </w:r>
      <w:r>
        <w:rPr>
          <w:rFonts w:ascii="Times New Roman" w:hAnsi="Times New Roman" w:cs="Arial"/>
        </w:rPr>
        <w:t xml:space="preserve">CDBG)</w:t>
      </w:r>
      <w:r>
        <w:rPr>
          <w:rFonts w:ascii="Times New Roman" w:hAnsi="Times New Roman" w:hint="cs" w:cs="Arial"/>
          <w:rtl/>
        </w:rPr>
        <w:t xml:space="preserve">، و</w:t>
      </w:r>
      <w:r>
        <w:rPr>
          <w:rFonts w:ascii="Times New Roman" w:hAnsi="Times New Roman" w:hint="cs" w:cs="Arial"/>
          <w:rtl/>
        </w:rPr>
        <w:t xml:space="preserve">2,870,446 دولارًا من برنامج شراكات الاستثمار في المساكن (</w:t>
      </w:r>
      <w:r>
        <w:rPr>
          <w:rFonts w:ascii="Times New Roman" w:hAnsi="Times New Roman" w:cs="Arial"/>
        </w:rPr>
        <w:t xml:space="preserve">HOME)</w:t>
      </w:r>
      <w:r>
        <w:rPr>
          <w:rFonts w:ascii="Times New Roman" w:hAnsi="Times New Roman" w:hint="cs" w:cs="Arial"/>
          <w:rtl/>
        </w:rPr>
        <w:t xml:space="preserve">، و</w:t>
      </w:r>
      <w:r>
        <w:rPr>
          <w:rFonts w:ascii="Times New Roman" w:hAnsi="Times New Roman" w:hint="cs" w:cs="Arial"/>
          <w:rtl/>
        </w:rPr>
        <w:t xml:space="preserve">371,576 دولارًا من برنامج منح حلول الطوارئ (</w:t>
      </w:r>
      <w:r>
        <w:rPr>
          <w:rFonts w:ascii="Times New Roman" w:hAnsi="Times New Roman" w:cs="Arial"/>
        </w:rPr>
        <w:t xml:space="preserve">ESG)</w:t>
      </w:r>
      <w:r>
        <w:rPr>
          <w:rFonts w:ascii="Times New Roman" w:hAnsi="Times New Roman" w:hint="cs" w:cs="Arial"/>
          <w:rtl/>
        </w:rPr>
        <w:t xml:space="preserve">، و</w:t>
      </w:r>
      <w:r>
        <w:rPr>
          <w:rFonts w:ascii="Times New Roman" w:hAnsi="Times New Roman" w:hint="cs" w:cs="Arial"/>
          <w:rtl/>
        </w:rPr>
        <w:t xml:space="preserve">6,369,845 دولارًا من برنامج الإسكان للمصابين بفيروس نقص المناعة البشرية/الإيدز (</w:t>
      </w:r>
      <w:r>
        <w:rPr>
          <w:rFonts w:ascii="Times New Roman" w:hAnsi="Times New Roman" w:cs="Arial"/>
        </w:rPr>
        <w:t xml:space="preserve">HOPWA</w:t>
      </w:r>
      <w:r>
        <w:rPr>
          <w:rFonts w:ascii="Times New Roman" w:hAnsi="Times New Roman" w:hint="cs" w:cs="Arial"/>
          <w:rtl/>
        </w:rPr>
        <w:t xml:space="preserve">) التي ستحصل عليها المقاطعة من وزارة الإسكان والتنمية الحضرية الأمريكية (</w:t>
      </w:r>
      <w:r>
        <w:rPr>
          <w:rFonts w:ascii="Times New Roman" w:hAnsi="Times New Roman" w:cs="Arial"/>
        </w:rPr>
        <w:t xml:space="preserve">HUD</w:t>
      </w:r>
      <w:r>
        <w:rPr>
          <w:rFonts w:ascii="Times New Roman" w:hAnsi="Times New Roman" w:hint="cs" w:cs="Arial"/>
          <w:rtl/>
        </w:rPr>
        <w:t xml:space="preserve">). كما سيبحث المجلس أيضًا في الاستخدام المقترح لمبلغ تقديري قدره </w:t>
      </w:r>
      <w:r>
        <w:rPr>
          <w:rFonts w:ascii="Times New Roman" w:hAnsi="Times New Roman" w:hint="cs" w:cs="Arial"/>
          <w:rtl/>
        </w:rPr>
        <w:t xml:space="preserve">2,000,000 دولار من عائدات برنامجي منحة التنمية المجتمعية (</w:t>
      </w:r>
      <w:r>
        <w:rPr>
          <w:rFonts w:ascii="Times New Roman" w:hAnsi="Times New Roman" w:cs="Arial"/>
        </w:rPr>
        <w:t xml:space="preserve">CDBG</w:t>
      </w:r>
      <w:r>
        <w:rPr>
          <w:rFonts w:ascii="Times New Roman" w:hAnsi="Times New Roman" w:hint="cs" w:cs="Arial"/>
          <w:rtl/>
        </w:rPr>
        <w:t xml:space="preserve">) وشراكات الاستثمار في المساكن (</w:t>
      </w:r>
      <w:r>
        <w:rPr>
          <w:rFonts w:ascii="Times New Roman" w:hAnsi="Times New Roman" w:cs="Arial"/>
        </w:rPr>
        <w:t xml:space="preserve">HOME</w:t>
      </w:r>
      <w:r>
        <w:rPr>
          <w:rFonts w:ascii="Times New Roman" w:hAnsi="Times New Roman" w:hint="cs" w:cs="Arial"/>
          <w:rtl/>
        </w:rPr>
        <w:t xml:space="preserve">) للعام المالي </w:t>
      </w:r>
      <w:r>
        <w:rPr>
          <w:rFonts w:ascii="Times New Roman" w:hAnsi="Times New Roman" w:hint="cs" w:cs="Arial"/>
          <w:rtl/>
        </w:rPr>
        <w:t xml:space="preserve">2025-</w:t>
      </w:r>
      <w:r>
        <w:rPr>
          <w:rFonts w:ascii="Times New Roman" w:hAnsi="Times New Roman" w:hint="cs" w:cs="Arial"/>
          <w:rtl/>
        </w:rPr>
        <w:t xml:space="preserve">2026 وإعادة تخصيص مبلغ تقديري قدره </w:t>
      </w:r>
      <w:r>
        <w:rPr>
          <w:rFonts w:ascii="Times New Roman" w:hAnsi="Times New Roman" w:hint="cs" w:cs="Arial"/>
          <w:rtl/>
        </w:rPr>
        <w:t xml:space="preserve">9,400,000 دولار من مخصصات برامج </w:t>
      </w:r>
      <w:r>
        <w:rPr>
          <w:rFonts w:ascii="Times New Roman" w:hAnsi="Times New Roman" w:cs="Arial"/>
        </w:rPr>
        <w:t xml:space="preserve">HOME</w:t>
      </w:r>
      <w:r>
        <w:rPr>
          <w:rFonts w:ascii="Times New Roman" w:hAnsi="Times New Roman" w:hint="cs" w:cs="Arial"/>
          <w:rtl/>
        </w:rPr>
        <w:t xml:space="preserve"> و</w:t>
      </w:r>
      <w:r>
        <w:rPr>
          <w:rFonts w:ascii="Times New Roman" w:hAnsi="Times New Roman" w:cs="Arial"/>
        </w:rPr>
        <w:t xml:space="preserve">ESG</w:t>
      </w:r>
      <w:r>
        <w:rPr>
          <w:rFonts w:ascii="Times New Roman" w:hAnsi="Times New Roman" w:hint="cs" w:cs="Arial"/>
          <w:rtl/>
        </w:rPr>
        <w:t xml:space="preserve"> و</w:t>
      </w:r>
      <w:r>
        <w:rPr>
          <w:rFonts w:ascii="Times New Roman" w:hAnsi="Times New Roman" w:cs="Arial"/>
        </w:rPr>
        <w:t xml:space="preserve">CDBG</w:t>
      </w:r>
      <w:r>
        <w:rPr>
          <w:rFonts w:ascii="Times New Roman" w:hAnsi="Times New Roman" w:hint="cs" w:cs="Arial"/>
          <w:rtl/>
        </w:rPr>
        <w:t xml:space="preserve"> و</w:t>
      </w:r>
      <w:r>
        <w:rPr>
          <w:rFonts w:ascii="Times New Roman" w:hAnsi="Times New Roman" w:cs="Arial"/>
        </w:rPr>
        <w:t xml:space="preserve">HOPWA</w:t>
      </w:r>
      <w:r>
        <w:rPr>
          <w:rFonts w:ascii="Times New Roman" w:hAnsi="Times New Roman" w:hint="cs" w:cs="Arial"/>
          <w:rtl/>
        </w:rPr>
        <w:t xml:space="preserve"> للأعوام السابقة. وتستند هذه الأرقام إلى مستويات التمويل في الأعوام السابقة.</w:t>
      </w:r>
    </w:p>
    <w:p w14:paraId="5A774DE8" w14:textId="77777777" w:rsidR="003870DA" w:rsidRPr="00782AC6" w:rsidRDefault="003870DA">
      <w:pPr>
        <w:jc w:val="both"/>
        <w:rPr>
          <w:rFonts w:ascii="Times New Roman" w:hAnsi="Times New Roman"/>
          <w:sz w:val="22"/>
          <w:szCs w:val="22"/>
        </w:rPr>
      </w:pPr>
    </w:p>
    <w:p w14:paraId="603F0B47" w14:textId="70180F4F" w:rsidR="0089498D" w:rsidRDefault="00CB5AE4" w:rsidP="002C2D5D">
      <w:pPr>
        <w:jc w:val="both"/>
        <w:bidi/>
        <w:rPr>
          <w:rFonts w:ascii="Times New Roman" w:hAnsi="Times New Roman" w:hint="cs" w:cs="Arial"/>
          <w:rtl/>
        </w:rPr>
      </w:pPr>
      <w:r>
        <w:rPr>
          <w:rFonts w:ascii="Times New Roman" w:hAnsi="Times New Roman" w:hint="cs" w:cs="Arial"/>
          <w:rtl/>
        </w:rPr>
        <w:t xml:space="preserve">تتضمن الخطة الموحدة أهدافًا إستراتيجية لمدة </w:t>
      </w:r>
      <w:r>
        <w:rPr>
          <w:rFonts w:ascii="Times New Roman" w:hAnsi="Times New Roman" w:hint="cs" w:cs="Arial"/>
          <w:rtl/>
        </w:rPr>
        <w:t xml:space="preserve">5 سنوات تهدف إلى دعم احتياجات الإسكان وتحسين المجتمع للفئات ذات الدخل المنخفض والمجتمعات في المناطق المؤهلة لتقديم الخدمات. وتوضّح الخطة السنوية الأنشطة المقترح تمويلها للعام المالي </w:t>
      </w:r>
      <w:r>
        <w:rPr>
          <w:rFonts w:ascii="Times New Roman" w:hAnsi="Times New Roman" w:hint="cs" w:cs="Arial"/>
          <w:rtl/>
        </w:rPr>
        <w:t xml:space="preserve">2025-</w:t>
      </w:r>
      <w:r>
        <w:rPr>
          <w:rFonts w:ascii="Times New Roman" w:hAnsi="Times New Roman" w:hint="cs" w:cs="Arial"/>
          <w:rtl/>
        </w:rPr>
        <w:t xml:space="preserve">2026، والتي تهدف إلى تحقيق الأهداف المحددة في الخطة الموحدة للعام </w:t>
      </w:r>
      <w:r>
        <w:rPr>
          <w:rFonts w:ascii="Times New Roman" w:hAnsi="Times New Roman" w:hint="cs" w:cs="Arial"/>
          <w:rtl/>
        </w:rPr>
        <w:t xml:space="preserve">2025-</w:t>
      </w:r>
      <w:r>
        <w:rPr>
          <w:rFonts w:ascii="Times New Roman" w:hAnsi="Times New Roman" w:hint="cs" w:cs="Arial"/>
          <w:rtl/>
        </w:rPr>
        <w:t xml:space="preserve">2026.</w:t>
      </w:r>
    </w:p>
    <w:p w14:paraId="45F609AE" w14:textId="77777777" w:rsidR="0089498D" w:rsidRPr="00782AC6" w:rsidRDefault="0089498D" w:rsidP="002C2D5D">
      <w:pPr>
        <w:jc w:val="both"/>
        <w:rPr>
          <w:rFonts w:ascii="Times New Roman" w:hAnsi="Times New Roman"/>
          <w:sz w:val="22"/>
          <w:szCs w:val="22"/>
        </w:rPr>
      </w:pPr>
    </w:p>
    <w:p w14:paraId="072DD8BA" w14:textId="0F76C793" w:rsidR="002C2D5D" w:rsidRDefault="003155A3" w:rsidP="002C2D5D">
      <w:pPr>
        <w:jc w:val="both"/>
        <w:bidi/>
        <w:rPr>
          <w:rFonts w:ascii="Times New Roman" w:hAnsi="Times New Roman" w:hint="cs" w:cs="Arial"/>
          <w:rtl/>
        </w:rPr>
      </w:pPr>
      <w:r>
        <w:rPr>
          <w:rFonts w:ascii="Times New Roman" w:hAnsi="Times New Roman" w:hint="cs" w:cs="Arial"/>
          <w:rtl/>
        </w:rPr>
        <w:t xml:space="preserve">يوفِّر برنامجا </w:t>
      </w:r>
      <w:r>
        <w:rPr>
          <w:rFonts w:ascii="Times New Roman" w:hAnsi="Times New Roman" w:cs="Arial"/>
        </w:rPr>
        <w:t xml:space="preserve">CDBG</w:t>
      </w:r>
      <w:r>
        <w:rPr>
          <w:rFonts w:ascii="Times New Roman" w:hAnsi="Times New Roman" w:hint="cs" w:cs="Arial"/>
          <w:rtl/>
        </w:rPr>
        <w:t xml:space="preserve"> و</w:t>
      </w:r>
      <w:r>
        <w:rPr>
          <w:rFonts w:ascii="Times New Roman" w:hAnsi="Times New Roman" w:cs="Arial"/>
        </w:rPr>
        <w:t xml:space="preserve">ESG</w:t>
      </w:r>
      <w:r>
        <w:rPr>
          <w:rFonts w:ascii="Times New Roman" w:hAnsi="Times New Roman" w:hint="cs" w:cs="Arial"/>
          <w:rtl/>
        </w:rPr>
        <w:t xml:space="preserve"> التمويل للمنطقة غير المشمولة في المقاطعة ومدن كورونادو وديل مار وإمبيريال بيتش وليمون جروف وباواي وسولانا بيتش، والمعروفة أيضًا باسم المقاطعة الحضرية. ويجب تخصيص الموارد المالية لبرنامج </w:t>
      </w:r>
      <w:r>
        <w:rPr>
          <w:rFonts w:ascii="Times New Roman" w:hAnsi="Times New Roman" w:cs="Arial"/>
        </w:rPr>
        <w:t xml:space="preserve">CDBG</w:t>
      </w:r>
      <w:r>
        <w:rPr>
          <w:rFonts w:ascii="Times New Roman" w:hAnsi="Times New Roman" w:hint="cs" w:cs="Arial"/>
          <w:rtl/>
        </w:rPr>
        <w:t xml:space="preserve"> لما يلي: (</w:t>
      </w:r>
      <w:r>
        <w:rPr>
          <w:rFonts w:ascii="Times New Roman" w:hAnsi="Times New Roman" w:hint="cs" w:cs="Arial"/>
          <w:rtl/>
        </w:rPr>
        <w:t xml:space="preserve">1) مساعدة الأشخاص ذوي الدخل المحدود؛ أو (</w:t>
      </w:r>
      <w:r>
        <w:rPr>
          <w:rFonts w:ascii="Times New Roman" w:hAnsi="Times New Roman" w:hint="cs" w:cs="Arial"/>
          <w:rtl/>
        </w:rPr>
        <w:t xml:space="preserve">2) إزالة الأحياء العشوائية أو الحيلولة دون ظهورها والحد من التدهور العمراني؛ أو (</w:t>
      </w:r>
      <w:r>
        <w:rPr>
          <w:rFonts w:ascii="Times New Roman" w:hAnsi="Times New Roman" w:hint="cs" w:cs="Arial"/>
          <w:rtl/>
        </w:rPr>
        <w:t xml:space="preserve">3) تلبية الاحتياجات العاجلة للتنمية المجتمعية. ويموِّل برنامج </w:t>
      </w:r>
      <w:r>
        <w:rPr>
          <w:rFonts w:ascii="Times New Roman" w:hAnsi="Times New Roman" w:cs="Arial"/>
        </w:rPr>
        <w:t xml:space="preserve">HOME</w:t>
      </w:r>
      <w:r>
        <w:rPr>
          <w:rFonts w:ascii="Times New Roman" w:hAnsi="Times New Roman" w:hint="cs" w:cs="Arial"/>
          <w:rtl/>
        </w:rPr>
        <w:t xml:space="preserve"> أنشطة الإسكان بأسعار معقولة في نطاق اتحاد </w:t>
      </w:r>
      <w:r>
        <w:rPr>
          <w:rFonts w:ascii="Times New Roman" w:hAnsi="Times New Roman" w:cs="Arial"/>
        </w:rPr>
        <w:t xml:space="preserve">HOME</w:t>
      </w:r>
      <w:r>
        <w:rPr>
          <w:rFonts w:ascii="Times New Roman" w:hAnsi="Times New Roman" w:hint="cs" w:cs="Arial"/>
          <w:rtl/>
        </w:rPr>
        <w:t xml:space="preserve"> التابع للمقاطعة. ويضم اتحاد </w:t>
      </w:r>
      <w:r>
        <w:rPr>
          <w:rFonts w:ascii="Times New Roman" w:hAnsi="Times New Roman" w:cs="Arial"/>
        </w:rPr>
        <w:t xml:space="preserve">HOME</w:t>
      </w:r>
      <w:r>
        <w:rPr>
          <w:rFonts w:ascii="Times New Roman" w:hAnsi="Times New Roman" w:hint="cs" w:cs="Arial"/>
          <w:rtl/>
        </w:rPr>
        <w:t xml:space="preserve"> المقاطعة الحضرية، بالإضافة إلى مدن كارلسباد وإنسينيتاس ولا ميسا وسان ماركوس وسانتي وفيستا. ويموِّل برنامج </w:t>
      </w:r>
      <w:r>
        <w:rPr>
          <w:rFonts w:ascii="Times New Roman" w:hAnsi="Times New Roman" w:cs="Arial"/>
        </w:rPr>
        <w:t xml:space="preserve">HOPWA</w:t>
      </w:r>
      <w:r>
        <w:rPr>
          <w:rFonts w:ascii="Times New Roman" w:hAnsi="Times New Roman" w:hint="cs" w:cs="Arial"/>
          <w:rtl/>
        </w:rPr>
        <w:t xml:space="preserve"> الإسكان/الخدمات للأشخاص المصابين بفيروس نقص المناعة البشرية/الإيدز (</w:t>
      </w:r>
      <w:r>
        <w:rPr>
          <w:rFonts w:ascii="Times New Roman" w:hAnsi="Times New Roman" w:cs="Arial"/>
        </w:rPr>
        <w:t xml:space="preserve">HIV/AIDS</w:t>
      </w:r>
      <w:r>
        <w:rPr>
          <w:rFonts w:ascii="Times New Roman" w:hAnsi="Times New Roman" w:hint="cs" w:cs="Arial"/>
          <w:rtl/>
        </w:rPr>
        <w:t xml:space="preserve">) وأسرهم في جميع أنحاء مقاطعة سان دييغو.</w:t>
      </w:r>
    </w:p>
    <w:p w14:paraId="66457242" w14:textId="5FFAD819" w:rsidR="002C2D5D" w:rsidRPr="00782AC6" w:rsidRDefault="002C2D5D" w:rsidP="002C2D5D">
      <w:pPr>
        <w:jc w:val="both"/>
        <w:rPr>
          <w:rFonts w:ascii="Times New Roman" w:hAnsi="Times New Roman"/>
          <w:sz w:val="22"/>
          <w:szCs w:val="22"/>
        </w:rPr>
      </w:pPr>
    </w:p>
    <w:p w14:paraId="5A774DED" w14:textId="3C8D9B27" w:rsidR="00E634CC" w:rsidRDefault="00E634CC">
      <w:pPr>
        <w:jc w:val="both"/>
        <w:bidi/>
        <w:rPr>
          <w:szCs w:val="24"/>
          <w:rFonts w:ascii="Times New Roman" w:hAnsi="Times New Roman" w:hint="cs" w:cs="Arial"/>
          <w:rtl/>
        </w:rPr>
      </w:pPr>
      <w:r>
        <w:rPr>
          <w:bCs/>
          <w:szCs w:val="24"/>
          <w:rFonts w:ascii="Times New Roman" w:hAnsi="Times New Roman" w:hint="cs" w:cs="Arial"/>
          <w:rtl/>
        </w:rPr>
        <w:t xml:space="preserve">تتوفر نُسخ من الخطط الأولية للاطلاع العام عليها وإبداء التعليقات عليها خلال فترة تعليق مدتها البالغة </w:t>
      </w:r>
      <w:r>
        <w:rPr>
          <w:bCs/>
          <w:szCs w:val="24"/>
          <w:rFonts w:ascii="Times New Roman" w:hAnsi="Times New Roman" w:hint="cs" w:cs="Arial"/>
          <w:rtl/>
        </w:rPr>
        <w:t xml:space="preserve">30 يومًا من </w:t>
      </w:r>
      <w:r>
        <w:rPr>
          <w:bCs/>
          <w:szCs w:val="24"/>
          <w:rFonts w:ascii="Times New Roman" w:hAnsi="Times New Roman" w:hint="cs" w:cs="Arial"/>
          <w:rtl/>
        </w:rPr>
        <w:t xml:space="preserve">7 فبراير </w:t>
      </w:r>
      <w:r>
        <w:rPr>
          <w:bCs/>
          <w:szCs w:val="24"/>
          <w:rFonts w:ascii="Times New Roman" w:hAnsi="Times New Roman" w:hint="cs" w:cs="Arial"/>
          <w:rtl/>
        </w:rPr>
        <w:t xml:space="preserve">2025 إلى </w:t>
      </w:r>
      <w:r>
        <w:rPr>
          <w:bCs/>
          <w:szCs w:val="24"/>
          <w:rFonts w:ascii="Times New Roman" w:hAnsi="Times New Roman" w:hint="cs" w:cs="Arial"/>
          <w:rtl/>
        </w:rPr>
        <w:t xml:space="preserve">11 مارس </w:t>
      </w:r>
      <w:r>
        <w:rPr>
          <w:bCs/>
          <w:szCs w:val="24"/>
          <w:rFonts w:ascii="Times New Roman" w:hAnsi="Times New Roman" w:hint="cs" w:cs="Arial"/>
          <w:rtl/>
        </w:rPr>
        <w:t xml:space="preserve">2025 عبر الموقع الإلكتروني للمقاطعة على</w:t>
      </w:r>
      <w:hyperlink r:id="rId11" w:history="1">
        <w:r>
          <w:rPr>
            <w:rStyle w:val="Hyperlink"/>
            <w:bCs/>
            <w:szCs w:val="24"/>
            <w:rFonts w:ascii="Times New Roman" w:hAnsi="Times New Roman" w:cs="Arial"/>
          </w:rPr>
          <w:t xml:space="preserve">www.sdhcd.com</w:t>
        </w:r>
      </w:hyperlink>
      <w:r>
        <w:rPr>
          <w:szCs w:val="24"/>
          <w:bCs/>
          <w:rFonts w:ascii="Times New Roman" w:hAnsi="Times New Roman" w:hint="cs" w:cs="Arial"/>
          <w:rtl/>
        </w:rPr>
        <w:t xml:space="preserve">. يُنصح الأفراد الذين يحتاجون إلى دعم للمشاركة في الاجتماعات (مثل أولئك الذين لا يتحدثون الإنجليزية أو الذين يعانون من ضعف السمع) بإخطار خدمات الإسكان والتنمية المجتمعية (</w:t>
      </w:r>
      <w:r>
        <w:rPr>
          <w:szCs w:val="24"/>
          <w:bCs/>
          <w:rFonts w:ascii="Times New Roman" w:hAnsi="Times New Roman" w:cs="Arial"/>
        </w:rPr>
        <w:t xml:space="preserve">HCDS</w:t>
      </w:r>
      <w:r>
        <w:rPr>
          <w:szCs w:val="24"/>
          <w:bCs/>
          <w:rFonts w:ascii="Times New Roman" w:hAnsi="Times New Roman" w:hint="cs" w:cs="Arial"/>
          <w:rtl/>
        </w:rPr>
        <w:t xml:space="preserve">) قبل خمسة أيام من تاريخ الاجتماع. لمزيد من المعلومات، يُرجى الاتصال على الرقم: </w:t>
      </w:r>
      <w:r>
        <w:rPr>
          <w:szCs w:val="24"/>
          <w:rFonts w:ascii="Times New Roman" w:hAnsi="Times New Roman" w:hint="cs" w:cs="Arial"/>
          <w:rtl/>
        </w:rPr>
        <w:t xml:space="preserve"> </w:t>
      </w:r>
      <w:r>
        <w:rPr>
          <w:szCs w:val="24"/>
          <w:rFonts w:ascii="Times New Roman" w:hAnsi="Times New Roman" w:hint="cs" w:cs="Arial"/>
          <w:rtl/>
        </w:rPr>
        <w:t xml:space="preserve">8724-694 (</w:t>
      </w:r>
      <w:r>
        <w:rPr>
          <w:szCs w:val="24"/>
          <w:rFonts w:ascii="Times New Roman" w:hAnsi="Times New Roman" w:hint="cs" w:cs="Arial"/>
          <w:rtl/>
        </w:rPr>
        <w:t xml:space="preserve">858). </w:t>
      </w:r>
      <w:r>
        <w:rPr>
          <w:szCs w:val="24"/>
          <w:bCs/>
          <w:rFonts w:ascii="Times New Roman" w:hAnsi="Times New Roman" w:hint="cs" w:cs="Arial"/>
          <w:rtl/>
        </w:rPr>
        <w:t xml:space="preserve">للحصول على مساعدة للأفراد الذين يعانون من ضعف السمع، يُرجى الاتصال على الرقم: (</w:t>
      </w:r>
      <w:r>
        <w:rPr>
          <w:szCs w:val="24"/>
          <w:bCs/>
          <w:rFonts w:ascii="Times New Roman" w:hAnsi="Times New Roman" w:hint="cs" w:cs="Arial"/>
          <w:rtl/>
        </w:rPr>
        <w:t xml:space="preserve">866)</w:t>
      </w:r>
      <w:r>
        <w:rPr>
          <w:szCs w:val="24"/>
          <w:rFonts w:ascii="Times New Roman" w:hAnsi="Times New Roman" w:hint="cs" w:cs="Arial"/>
          <w:rtl/>
        </w:rPr>
        <w:t xml:space="preserve"> </w:t>
      </w:r>
      <w:r>
        <w:rPr>
          <w:szCs w:val="24"/>
          <w:rFonts w:ascii="Times New Roman" w:hAnsi="Times New Roman" w:hint="cs" w:cs="Arial"/>
          <w:rtl/>
        </w:rPr>
        <w:t xml:space="preserve">945-2207.</w:t>
      </w:r>
    </w:p>
    <w:p w14:paraId="1C33B5FB" w14:textId="289B4BEA" w:rsidR="008923DE" w:rsidRPr="002C2D5D" w:rsidRDefault="00F52EF3">
      <w:pPr>
        <w:jc w:val="both"/>
        <w:bidi/>
        <w:rPr>
          <w:szCs w:val="24"/>
          <w:rFonts w:ascii="Times New Roman" w:hAnsi="Times New Roman" w:hint="cs" w:cs="Arial"/>
          <w:rtl/>
        </w:rPr>
      </w:pPr>
    </w:p>
    <w:sectPr w:rsidR="008923DE" w:rsidRPr="002C2D5D" w:rsidSect="00F72198">
      <w:endnotePr>
        <w:numFmt w:val="decimal"/>
      </w:endnotePr>
      <w:pgSz w:w="12240" w:h="15840" w:code="1"/>
      <w:pgMar w:top="1440" w:right="1080" w:bottom="1440" w:left="1080" w:header="72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825B" w14:textId="77777777" w:rsidR="00AF0A54" w:rsidRDefault="00AF0A54" w:rsidP="00FC1F7E">
      <w:r>
        <w:separator/>
      </w:r>
    </w:p>
  </w:endnote>
  <w:endnote w:type="continuationSeparator" w:id="0">
    <w:p w14:paraId="62522706" w14:textId="77777777" w:rsidR="00AF0A54" w:rsidRDefault="00AF0A54" w:rsidP="00FC1F7E">
      <w:r>
        <w:continuationSeparator/>
      </w:r>
    </w:p>
  </w:endnote>
  <w:endnote w:type="continuationNotice" w:id="1">
    <w:p w14:paraId="6D3C6073" w14:textId="77777777" w:rsidR="00AF0A54" w:rsidRDefault="00AF0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B615" w14:textId="77777777" w:rsidR="00AF0A54" w:rsidRDefault="00AF0A54" w:rsidP="00FC1F7E">
      <w:r>
        <w:separator/>
      </w:r>
    </w:p>
  </w:footnote>
  <w:footnote w:type="continuationSeparator" w:id="0">
    <w:p w14:paraId="3591DAFB" w14:textId="77777777" w:rsidR="00AF0A54" w:rsidRDefault="00AF0A54" w:rsidP="00FC1F7E">
      <w:r>
        <w:continuationSeparator/>
      </w:r>
    </w:p>
  </w:footnote>
  <w:footnote w:type="continuationNotice" w:id="1">
    <w:p w14:paraId="599DA9BA" w14:textId="77777777" w:rsidR="00AF0A54" w:rsidRDefault="00AF0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4FD9"/>
    <w:multiLevelType w:val="hybridMultilevel"/>
    <w:tmpl w:val="CADC0CE6"/>
    <w:lvl w:ilvl="0" w:tplc="97843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0686F"/>
    <w:multiLevelType w:val="hybridMultilevel"/>
    <w:tmpl w:val="29040368"/>
    <w:lvl w:ilvl="0" w:tplc="7FB0E6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A5E88"/>
    <w:multiLevelType w:val="hybridMultilevel"/>
    <w:tmpl w:val="F078D682"/>
    <w:lvl w:ilvl="0" w:tplc="AFD4E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36707"/>
    <w:multiLevelType w:val="hybridMultilevel"/>
    <w:tmpl w:val="FD8C973C"/>
    <w:lvl w:ilvl="0" w:tplc="FBF6A9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866235"/>
    <w:multiLevelType w:val="hybridMultilevel"/>
    <w:tmpl w:val="70F4A704"/>
    <w:lvl w:ilvl="0" w:tplc="FA2ABD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F82E2F"/>
    <w:multiLevelType w:val="hybridMultilevel"/>
    <w:tmpl w:val="AA82DB9A"/>
    <w:lvl w:ilvl="0" w:tplc="C3762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879C0"/>
    <w:multiLevelType w:val="multilevel"/>
    <w:tmpl w:val="BFDAC5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312639395">
    <w:abstractNumId w:val="3"/>
  </w:num>
  <w:num w:numId="2" w16cid:durableId="498615428">
    <w:abstractNumId w:val="2"/>
  </w:num>
  <w:num w:numId="3" w16cid:durableId="76250805">
    <w:abstractNumId w:val="4"/>
  </w:num>
  <w:num w:numId="4" w16cid:durableId="1260454505">
    <w:abstractNumId w:val="5"/>
  </w:num>
  <w:num w:numId="5" w16cid:durableId="185411111">
    <w:abstractNumId w:val="0"/>
  </w:num>
  <w:num w:numId="6" w16cid:durableId="1611277350">
    <w:abstractNumId w:val="1"/>
  </w:num>
  <w:num w:numId="7" w16cid:durableId="486702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79"/>
    <w:rsid w:val="00004607"/>
    <w:rsid w:val="00013497"/>
    <w:rsid w:val="00032A83"/>
    <w:rsid w:val="000342CF"/>
    <w:rsid w:val="000374C6"/>
    <w:rsid w:val="0004198E"/>
    <w:rsid w:val="0005596F"/>
    <w:rsid w:val="00055E18"/>
    <w:rsid w:val="00063D8F"/>
    <w:rsid w:val="00064598"/>
    <w:rsid w:val="00075A70"/>
    <w:rsid w:val="00076F8A"/>
    <w:rsid w:val="00081BEC"/>
    <w:rsid w:val="00086666"/>
    <w:rsid w:val="000A0180"/>
    <w:rsid w:val="000A2615"/>
    <w:rsid w:val="000B6015"/>
    <w:rsid w:val="000C20C7"/>
    <w:rsid w:val="000D22B6"/>
    <w:rsid w:val="000F0BC4"/>
    <w:rsid w:val="000F2990"/>
    <w:rsid w:val="00102DA0"/>
    <w:rsid w:val="001332F0"/>
    <w:rsid w:val="00141657"/>
    <w:rsid w:val="00142BCD"/>
    <w:rsid w:val="00152DA9"/>
    <w:rsid w:val="00156BA7"/>
    <w:rsid w:val="00156BDB"/>
    <w:rsid w:val="00157668"/>
    <w:rsid w:val="00162FC2"/>
    <w:rsid w:val="00167184"/>
    <w:rsid w:val="001678E0"/>
    <w:rsid w:val="00172EB0"/>
    <w:rsid w:val="00182B6A"/>
    <w:rsid w:val="001912E6"/>
    <w:rsid w:val="00192D96"/>
    <w:rsid w:val="00193A72"/>
    <w:rsid w:val="001B0B26"/>
    <w:rsid w:val="001C0DDB"/>
    <w:rsid w:val="001D5136"/>
    <w:rsid w:val="001E1975"/>
    <w:rsid w:val="001E7EF0"/>
    <w:rsid w:val="001F0446"/>
    <w:rsid w:val="001F6416"/>
    <w:rsid w:val="002004A3"/>
    <w:rsid w:val="002008C8"/>
    <w:rsid w:val="00201AC8"/>
    <w:rsid w:val="0020284B"/>
    <w:rsid w:val="00203887"/>
    <w:rsid w:val="00203DE5"/>
    <w:rsid w:val="002126A0"/>
    <w:rsid w:val="002152E3"/>
    <w:rsid w:val="00221277"/>
    <w:rsid w:val="0022565F"/>
    <w:rsid w:val="00230FFD"/>
    <w:rsid w:val="00232B18"/>
    <w:rsid w:val="0023421F"/>
    <w:rsid w:val="00241CD3"/>
    <w:rsid w:val="002434A9"/>
    <w:rsid w:val="002527DE"/>
    <w:rsid w:val="00253102"/>
    <w:rsid w:val="00257FB4"/>
    <w:rsid w:val="00260B25"/>
    <w:rsid w:val="00261009"/>
    <w:rsid w:val="00261611"/>
    <w:rsid w:val="002857F0"/>
    <w:rsid w:val="00294831"/>
    <w:rsid w:val="002962BF"/>
    <w:rsid w:val="002A3255"/>
    <w:rsid w:val="002A3667"/>
    <w:rsid w:val="002A762C"/>
    <w:rsid w:val="002C2C28"/>
    <w:rsid w:val="002C2D5D"/>
    <w:rsid w:val="002C57C8"/>
    <w:rsid w:val="002D6562"/>
    <w:rsid w:val="002E0CB2"/>
    <w:rsid w:val="002E5524"/>
    <w:rsid w:val="002E5A4B"/>
    <w:rsid w:val="002F44B1"/>
    <w:rsid w:val="00301441"/>
    <w:rsid w:val="0030338B"/>
    <w:rsid w:val="00304DD2"/>
    <w:rsid w:val="0030569C"/>
    <w:rsid w:val="003072B4"/>
    <w:rsid w:val="003155A3"/>
    <w:rsid w:val="00324937"/>
    <w:rsid w:val="00334E48"/>
    <w:rsid w:val="003432A3"/>
    <w:rsid w:val="0034379C"/>
    <w:rsid w:val="00344589"/>
    <w:rsid w:val="00345F06"/>
    <w:rsid w:val="00372C89"/>
    <w:rsid w:val="0037494B"/>
    <w:rsid w:val="00382550"/>
    <w:rsid w:val="003870DA"/>
    <w:rsid w:val="003A3007"/>
    <w:rsid w:val="003B03F7"/>
    <w:rsid w:val="003C1356"/>
    <w:rsid w:val="003D382B"/>
    <w:rsid w:val="003E5D37"/>
    <w:rsid w:val="003F4247"/>
    <w:rsid w:val="00403FD6"/>
    <w:rsid w:val="00404378"/>
    <w:rsid w:val="00412470"/>
    <w:rsid w:val="004136E5"/>
    <w:rsid w:val="00415693"/>
    <w:rsid w:val="00416DE1"/>
    <w:rsid w:val="00416FD1"/>
    <w:rsid w:val="004224B4"/>
    <w:rsid w:val="00422FF7"/>
    <w:rsid w:val="0042730C"/>
    <w:rsid w:val="00433A27"/>
    <w:rsid w:val="00440FDD"/>
    <w:rsid w:val="00443ACD"/>
    <w:rsid w:val="00462151"/>
    <w:rsid w:val="00465269"/>
    <w:rsid w:val="00474E76"/>
    <w:rsid w:val="00497DDA"/>
    <w:rsid w:val="004A71D3"/>
    <w:rsid w:val="004A74A8"/>
    <w:rsid w:val="004B589E"/>
    <w:rsid w:val="004D0F89"/>
    <w:rsid w:val="004D1A93"/>
    <w:rsid w:val="004D2340"/>
    <w:rsid w:val="004E3BF1"/>
    <w:rsid w:val="004F057F"/>
    <w:rsid w:val="004F3FF4"/>
    <w:rsid w:val="005072F5"/>
    <w:rsid w:val="00516109"/>
    <w:rsid w:val="00525300"/>
    <w:rsid w:val="00527CE9"/>
    <w:rsid w:val="0053079B"/>
    <w:rsid w:val="00537D9A"/>
    <w:rsid w:val="00540CA7"/>
    <w:rsid w:val="005428AA"/>
    <w:rsid w:val="00547038"/>
    <w:rsid w:val="0057135C"/>
    <w:rsid w:val="005759A8"/>
    <w:rsid w:val="00577B82"/>
    <w:rsid w:val="00584620"/>
    <w:rsid w:val="0059664F"/>
    <w:rsid w:val="005B2106"/>
    <w:rsid w:val="005C0BF0"/>
    <w:rsid w:val="005C1EC4"/>
    <w:rsid w:val="005C55EE"/>
    <w:rsid w:val="005C57D8"/>
    <w:rsid w:val="005C7A74"/>
    <w:rsid w:val="005D4A2A"/>
    <w:rsid w:val="005D7321"/>
    <w:rsid w:val="005E1D77"/>
    <w:rsid w:val="005E2A90"/>
    <w:rsid w:val="005E67CD"/>
    <w:rsid w:val="005E79CD"/>
    <w:rsid w:val="0060644C"/>
    <w:rsid w:val="00606EA4"/>
    <w:rsid w:val="00607392"/>
    <w:rsid w:val="0060792C"/>
    <w:rsid w:val="006166F1"/>
    <w:rsid w:val="006221C6"/>
    <w:rsid w:val="00623B53"/>
    <w:rsid w:val="006250E3"/>
    <w:rsid w:val="00625B88"/>
    <w:rsid w:val="00625C87"/>
    <w:rsid w:val="006370CF"/>
    <w:rsid w:val="00641272"/>
    <w:rsid w:val="00653767"/>
    <w:rsid w:val="006550D0"/>
    <w:rsid w:val="00657B21"/>
    <w:rsid w:val="00657BF4"/>
    <w:rsid w:val="00666712"/>
    <w:rsid w:val="006709DC"/>
    <w:rsid w:val="00684B34"/>
    <w:rsid w:val="00687431"/>
    <w:rsid w:val="00687A33"/>
    <w:rsid w:val="006969F8"/>
    <w:rsid w:val="006B6563"/>
    <w:rsid w:val="006B6DD3"/>
    <w:rsid w:val="006C06E0"/>
    <w:rsid w:val="006C2B22"/>
    <w:rsid w:val="006C374D"/>
    <w:rsid w:val="006C6F5F"/>
    <w:rsid w:val="006D4082"/>
    <w:rsid w:val="006D4AAB"/>
    <w:rsid w:val="006E0413"/>
    <w:rsid w:val="006E1E7C"/>
    <w:rsid w:val="006E3D6D"/>
    <w:rsid w:val="006F0E42"/>
    <w:rsid w:val="006F1A9F"/>
    <w:rsid w:val="006F5BBE"/>
    <w:rsid w:val="00711F6F"/>
    <w:rsid w:val="007312A0"/>
    <w:rsid w:val="0073287C"/>
    <w:rsid w:val="0074326E"/>
    <w:rsid w:val="0075501D"/>
    <w:rsid w:val="00762549"/>
    <w:rsid w:val="00775FEC"/>
    <w:rsid w:val="00782AC6"/>
    <w:rsid w:val="00785637"/>
    <w:rsid w:val="007918C9"/>
    <w:rsid w:val="007B3362"/>
    <w:rsid w:val="007B374D"/>
    <w:rsid w:val="007C0F96"/>
    <w:rsid w:val="007C55D2"/>
    <w:rsid w:val="007E6757"/>
    <w:rsid w:val="00800149"/>
    <w:rsid w:val="00806379"/>
    <w:rsid w:val="00814D59"/>
    <w:rsid w:val="00820971"/>
    <w:rsid w:val="00826F08"/>
    <w:rsid w:val="00836794"/>
    <w:rsid w:val="0084578C"/>
    <w:rsid w:val="00846919"/>
    <w:rsid w:val="00863BAE"/>
    <w:rsid w:val="00873AE5"/>
    <w:rsid w:val="00874A46"/>
    <w:rsid w:val="00877B74"/>
    <w:rsid w:val="008923DE"/>
    <w:rsid w:val="0089498D"/>
    <w:rsid w:val="008A3F35"/>
    <w:rsid w:val="008B1423"/>
    <w:rsid w:val="008C4DBE"/>
    <w:rsid w:val="008D37CF"/>
    <w:rsid w:val="008D6569"/>
    <w:rsid w:val="008E0123"/>
    <w:rsid w:val="008E0DDD"/>
    <w:rsid w:val="008E5B44"/>
    <w:rsid w:val="008E5CD8"/>
    <w:rsid w:val="008E79C2"/>
    <w:rsid w:val="008F3569"/>
    <w:rsid w:val="009024F6"/>
    <w:rsid w:val="00904A76"/>
    <w:rsid w:val="009100F2"/>
    <w:rsid w:val="00912E01"/>
    <w:rsid w:val="00923224"/>
    <w:rsid w:val="00930DDB"/>
    <w:rsid w:val="00937AA4"/>
    <w:rsid w:val="00945E39"/>
    <w:rsid w:val="00947FDA"/>
    <w:rsid w:val="00951AA1"/>
    <w:rsid w:val="00965052"/>
    <w:rsid w:val="0096507F"/>
    <w:rsid w:val="0097012A"/>
    <w:rsid w:val="00974935"/>
    <w:rsid w:val="00975B27"/>
    <w:rsid w:val="00977C82"/>
    <w:rsid w:val="0098055E"/>
    <w:rsid w:val="00984918"/>
    <w:rsid w:val="009920E3"/>
    <w:rsid w:val="009A55A4"/>
    <w:rsid w:val="009A5828"/>
    <w:rsid w:val="009B6F82"/>
    <w:rsid w:val="009C37A4"/>
    <w:rsid w:val="009D4C3B"/>
    <w:rsid w:val="009D5B45"/>
    <w:rsid w:val="009D6C43"/>
    <w:rsid w:val="00A001F5"/>
    <w:rsid w:val="00A01F1F"/>
    <w:rsid w:val="00A208EC"/>
    <w:rsid w:val="00A274A4"/>
    <w:rsid w:val="00A27E02"/>
    <w:rsid w:val="00A47843"/>
    <w:rsid w:val="00A53AAA"/>
    <w:rsid w:val="00A544B5"/>
    <w:rsid w:val="00A61098"/>
    <w:rsid w:val="00A674F8"/>
    <w:rsid w:val="00A73331"/>
    <w:rsid w:val="00A84ED2"/>
    <w:rsid w:val="00A93478"/>
    <w:rsid w:val="00A975A5"/>
    <w:rsid w:val="00AC4ED3"/>
    <w:rsid w:val="00AD042B"/>
    <w:rsid w:val="00AD19DC"/>
    <w:rsid w:val="00AD1BF6"/>
    <w:rsid w:val="00AD2637"/>
    <w:rsid w:val="00AD2883"/>
    <w:rsid w:val="00AD4BFF"/>
    <w:rsid w:val="00AE1292"/>
    <w:rsid w:val="00AE471F"/>
    <w:rsid w:val="00AF0A54"/>
    <w:rsid w:val="00AF6F51"/>
    <w:rsid w:val="00B03E63"/>
    <w:rsid w:val="00B21A4C"/>
    <w:rsid w:val="00B30F81"/>
    <w:rsid w:val="00B37513"/>
    <w:rsid w:val="00B43CA3"/>
    <w:rsid w:val="00B608F8"/>
    <w:rsid w:val="00B701D7"/>
    <w:rsid w:val="00B76CC5"/>
    <w:rsid w:val="00B878C1"/>
    <w:rsid w:val="00BB3FCA"/>
    <w:rsid w:val="00BB6F34"/>
    <w:rsid w:val="00BC274B"/>
    <w:rsid w:val="00BC65BC"/>
    <w:rsid w:val="00BF0325"/>
    <w:rsid w:val="00BF6490"/>
    <w:rsid w:val="00C0370F"/>
    <w:rsid w:val="00C045CC"/>
    <w:rsid w:val="00C05CBD"/>
    <w:rsid w:val="00C162A1"/>
    <w:rsid w:val="00C22358"/>
    <w:rsid w:val="00C2687C"/>
    <w:rsid w:val="00C31AD0"/>
    <w:rsid w:val="00C31F64"/>
    <w:rsid w:val="00C33E34"/>
    <w:rsid w:val="00C408D9"/>
    <w:rsid w:val="00C43252"/>
    <w:rsid w:val="00C45D8E"/>
    <w:rsid w:val="00C52C64"/>
    <w:rsid w:val="00C55B62"/>
    <w:rsid w:val="00C57776"/>
    <w:rsid w:val="00C62F0A"/>
    <w:rsid w:val="00C765F4"/>
    <w:rsid w:val="00C76F08"/>
    <w:rsid w:val="00C87272"/>
    <w:rsid w:val="00CA0E29"/>
    <w:rsid w:val="00CA1B58"/>
    <w:rsid w:val="00CA1F6A"/>
    <w:rsid w:val="00CA5FFE"/>
    <w:rsid w:val="00CA67E4"/>
    <w:rsid w:val="00CA6D90"/>
    <w:rsid w:val="00CB0C76"/>
    <w:rsid w:val="00CB5AE4"/>
    <w:rsid w:val="00CB7408"/>
    <w:rsid w:val="00CB7D64"/>
    <w:rsid w:val="00CF02C4"/>
    <w:rsid w:val="00CF4C9B"/>
    <w:rsid w:val="00D01E92"/>
    <w:rsid w:val="00D06D24"/>
    <w:rsid w:val="00D371CF"/>
    <w:rsid w:val="00D37C0C"/>
    <w:rsid w:val="00D4186C"/>
    <w:rsid w:val="00D43A81"/>
    <w:rsid w:val="00D44DAD"/>
    <w:rsid w:val="00D4512E"/>
    <w:rsid w:val="00D500C8"/>
    <w:rsid w:val="00D5651D"/>
    <w:rsid w:val="00D600CA"/>
    <w:rsid w:val="00D70CA2"/>
    <w:rsid w:val="00D71D08"/>
    <w:rsid w:val="00D7278D"/>
    <w:rsid w:val="00D74E08"/>
    <w:rsid w:val="00D844DA"/>
    <w:rsid w:val="00D87B2C"/>
    <w:rsid w:val="00D9734A"/>
    <w:rsid w:val="00DA77FF"/>
    <w:rsid w:val="00DB16BB"/>
    <w:rsid w:val="00DC0645"/>
    <w:rsid w:val="00DC100F"/>
    <w:rsid w:val="00DC16F2"/>
    <w:rsid w:val="00DC2307"/>
    <w:rsid w:val="00DD1AEE"/>
    <w:rsid w:val="00DD6B8D"/>
    <w:rsid w:val="00DE0407"/>
    <w:rsid w:val="00DE343C"/>
    <w:rsid w:val="00DE6DB7"/>
    <w:rsid w:val="00DF4DFE"/>
    <w:rsid w:val="00DF6F0D"/>
    <w:rsid w:val="00E02438"/>
    <w:rsid w:val="00E13F0E"/>
    <w:rsid w:val="00E15B2F"/>
    <w:rsid w:val="00E16407"/>
    <w:rsid w:val="00E32BD4"/>
    <w:rsid w:val="00E406FE"/>
    <w:rsid w:val="00E41D42"/>
    <w:rsid w:val="00E4226D"/>
    <w:rsid w:val="00E4329B"/>
    <w:rsid w:val="00E4612E"/>
    <w:rsid w:val="00E470D5"/>
    <w:rsid w:val="00E53807"/>
    <w:rsid w:val="00E55638"/>
    <w:rsid w:val="00E634CC"/>
    <w:rsid w:val="00E7086F"/>
    <w:rsid w:val="00E72C72"/>
    <w:rsid w:val="00E77CAA"/>
    <w:rsid w:val="00E863CB"/>
    <w:rsid w:val="00E93AA1"/>
    <w:rsid w:val="00EA16BD"/>
    <w:rsid w:val="00EA1A13"/>
    <w:rsid w:val="00EA4B49"/>
    <w:rsid w:val="00EA6C00"/>
    <w:rsid w:val="00EB44CF"/>
    <w:rsid w:val="00EB5B8E"/>
    <w:rsid w:val="00EC211E"/>
    <w:rsid w:val="00EE2636"/>
    <w:rsid w:val="00F02649"/>
    <w:rsid w:val="00F026D5"/>
    <w:rsid w:val="00F06D56"/>
    <w:rsid w:val="00F15791"/>
    <w:rsid w:val="00F2241B"/>
    <w:rsid w:val="00F2765B"/>
    <w:rsid w:val="00F277D9"/>
    <w:rsid w:val="00F31988"/>
    <w:rsid w:val="00F35797"/>
    <w:rsid w:val="00F35AAD"/>
    <w:rsid w:val="00F3720D"/>
    <w:rsid w:val="00F45E22"/>
    <w:rsid w:val="00F52EF3"/>
    <w:rsid w:val="00F60CC7"/>
    <w:rsid w:val="00F60D6E"/>
    <w:rsid w:val="00F6391C"/>
    <w:rsid w:val="00F6581E"/>
    <w:rsid w:val="00F70BE1"/>
    <w:rsid w:val="00F72198"/>
    <w:rsid w:val="00F75BEE"/>
    <w:rsid w:val="00F94485"/>
    <w:rsid w:val="00F96085"/>
    <w:rsid w:val="00F97C0D"/>
    <w:rsid w:val="00FA0620"/>
    <w:rsid w:val="00FB7E4E"/>
    <w:rsid w:val="00FC11F9"/>
    <w:rsid w:val="00FC1F7E"/>
    <w:rsid w:val="00FD3F05"/>
    <w:rsid w:val="00FD3F08"/>
    <w:rsid w:val="00FD4F6E"/>
    <w:rsid w:val="00FF294D"/>
    <w:rsid w:val="0BD73CB8"/>
    <w:rsid w:val="0F1539CB"/>
    <w:rsid w:val="12E1D129"/>
    <w:rsid w:val="13418CE9"/>
    <w:rsid w:val="156E453B"/>
    <w:rsid w:val="1BA11480"/>
    <w:rsid w:val="22C6E6B0"/>
    <w:rsid w:val="27DB5E8C"/>
    <w:rsid w:val="29E5B393"/>
    <w:rsid w:val="2E4A44C2"/>
    <w:rsid w:val="349EAB2D"/>
    <w:rsid w:val="3A6514FA"/>
    <w:rsid w:val="41C2EE72"/>
    <w:rsid w:val="533FE791"/>
    <w:rsid w:val="5B91E32F"/>
    <w:rsid w:val="6091172B"/>
    <w:rsid w:val="6B8E0388"/>
    <w:rsid w:val="719273D8"/>
    <w:rsid w:val="757B6091"/>
    <w:rsid w:val="7DED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74DDE"/>
  <w15:docId w15:val="{46AFC291-356B-4B08-9BBE-7F816BAD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E63"/>
    <w:pPr>
      <w:widowControl w:val="0"/>
    </w:pPr>
    <w:rPr>
      <w:rFonts w:ascii="Courier" w:hAnsi="Courier" w:cs="Arial"/>
      <w:snapToGrid w:val="0"/>
      <w:sz w:val="24"/>
    </w:rPr>
  </w:style>
  <w:style w:type="paragraph" w:styleId="Heading1">
    <w:name w:val="heading 1"/>
    <w:basedOn w:val="Normal"/>
    <w:next w:val="Normal"/>
    <w:qFormat/>
    <w:rsid w:val="00B03E63"/>
    <w:pPr>
      <w:keepNext/>
      <w:jc w:val="both"/>
      <w:outlineLvl w:val="0"/>
    </w:pPr>
    <w:rPr>
      <w:rFonts w:ascii="Times New Roman" w:hAnsi="Times New Roman" w:cs="Arial"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2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03E63"/>
  </w:style>
  <w:style w:type="paragraph" w:styleId="BodyText">
    <w:name w:val="Body Text"/>
    <w:basedOn w:val="Normal"/>
    <w:rsid w:val="00B03E63"/>
    <w:pPr>
      <w:tabs>
        <w:tab w:val="center" w:pos="4680"/>
      </w:tabs>
      <w:jc w:val="center"/>
    </w:pPr>
    <w:rPr>
      <w:rFonts w:ascii="Times New Roman" w:hAnsi="Times New Roman" w:cs="Arial"/>
      <w:b/>
    </w:rPr>
  </w:style>
  <w:style w:type="character" w:styleId="Hyperlink">
    <w:name w:val="Hyperlink"/>
    <w:basedOn w:val="DefaultParagraphFont"/>
    <w:rsid w:val="00B03E63"/>
    <w:rPr>
      <w:color w:val="0000FF"/>
      <w:u w:val="single"/>
    </w:rPr>
  </w:style>
  <w:style w:type="character" w:styleId="FollowedHyperlink">
    <w:name w:val="FollowedHyperlink"/>
    <w:basedOn w:val="DefaultParagraphFont"/>
    <w:rsid w:val="00B03E63"/>
    <w:rPr>
      <w:color w:val="800080"/>
      <w:u w:val="single"/>
    </w:rPr>
  </w:style>
  <w:style w:type="paragraph" w:styleId="BodyText2">
    <w:name w:val="Body Text 2"/>
    <w:basedOn w:val="Normal"/>
    <w:rsid w:val="00B03E63"/>
    <w:pPr>
      <w:jc w:val="both"/>
    </w:pPr>
    <w:rPr>
      <w:rFonts w:ascii="Times New Roman" w:hAnsi="Times New Roman" w:cs="Arial"/>
    </w:rPr>
  </w:style>
  <w:style w:type="paragraph" w:styleId="BodyText3">
    <w:name w:val="Body Text 3"/>
    <w:basedOn w:val="Normal"/>
    <w:rsid w:val="00C55B6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D87B2C"/>
    <w:rPr>
      <w:rFonts w:ascii="Tahoma" w:hAnsi="Tahoma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B2C"/>
    <w:rPr>
      <w:rFonts w:ascii="Tahoma" w:hAnsi="Tahoma" w:cs="Arial"/>
      <w:snapToGrid w:val="0"/>
      <w:sz w:val="16"/>
      <w:szCs w:val="16"/>
    </w:rPr>
  </w:style>
  <w:style w:type="paragraph" w:customStyle="1" w:styleId="HangingIndent">
    <w:name w:val="HangingIndent"/>
    <w:basedOn w:val="Normal"/>
    <w:locked/>
    <w:rsid w:val="00762549"/>
    <w:pPr>
      <w:widowControl/>
      <w:tabs>
        <w:tab w:val="right" w:pos="5760"/>
        <w:tab w:val="right" w:pos="6480"/>
        <w:tab w:val="right" w:pos="7200"/>
        <w:tab w:val="right" w:pos="7920"/>
        <w:tab w:val="right" w:pos="8640"/>
      </w:tabs>
      <w:ind w:left="360" w:hanging="360"/>
      <w:jc w:val="both"/>
    </w:pPr>
    <w:rPr>
      <w:rFonts w:ascii="Times New Roman" w:hAnsi="Times New Roman" w:cs="Arial"/>
      <w:snapToGrid/>
    </w:rPr>
  </w:style>
  <w:style w:type="paragraph" w:styleId="Header">
    <w:name w:val="header"/>
    <w:basedOn w:val="Normal"/>
    <w:link w:val="HeaderChar"/>
    <w:uiPriority w:val="99"/>
    <w:rsid w:val="00FC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F7E"/>
    <w:rPr>
      <w:rFonts w:ascii="Courier" w:hAnsi="Courier" w:cs="Arial"/>
      <w:snapToGrid w:val="0"/>
      <w:sz w:val="24"/>
    </w:rPr>
  </w:style>
  <w:style w:type="paragraph" w:styleId="Footer">
    <w:name w:val="footer"/>
    <w:basedOn w:val="Normal"/>
    <w:link w:val="FooterChar"/>
    <w:rsid w:val="00FC1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1F7E"/>
    <w:rPr>
      <w:rFonts w:ascii="Courier" w:hAnsi="Courier" w:cs="Arial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C2D5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3F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3F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F08"/>
    <w:rPr>
      <w:rFonts w:ascii="Courier" w:hAnsi="Courier" w:cs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3F08"/>
    <w:rPr>
      <w:rFonts w:ascii="Courier" w:hAnsi="Courier" w:cs="Arial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semiHidden/>
    <w:rsid w:val="008923DE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23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dhcd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477d3-22c6-4883-9286-1871e200e4f7">
      <Terms xmlns="http://schemas.microsoft.com/office/infopath/2007/PartnerControls"/>
    </lcf76f155ced4ddcb4097134ff3c332f>
    <TypeofApplicant xmlns="ad3477d3-22c6-4883-9286-1871e200e4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56B3CCCD30F4DA1CB092F67E71ED0" ma:contentTypeVersion="15" ma:contentTypeDescription="Create a new document." ma:contentTypeScope="" ma:versionID="6264fc60652c42d775b615de35787efd">
  <xsd:schema xmlns:xsd="http://www.w3.org/2001/XMLSchema" xmlns:xs="http://www.w3.org/2001/XMLSchema" xmlns:p="http://schemas.microsoft.com/office/2006/metadata/properties" xmlns:ns2="ad3477d3-22c6-4883-9286-1871e200e4f7" xmlns:ns3="fab00aae-6f19-43c9-849c-be0786fba438" targetNamespace="http://schemas.microsoft.com/office/2006/metadata/properties" ma:root="true" ma:fieldsID="9b0b0b4b10e47c9ccd62f1b1b065ee74" ns2:_="" ns3:_="">
    <xsd:import namespace="ad3477d3-22c6-4883-9286-1871e200e4f7"/>
    <xsd:import namespace="fab00aae-6f19-43c9-849c-be0786fba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TypeofApplicant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77d3-22c6-4883-9286-1871e200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eofApplicant" ma:index="20" nillable="true" ma:displayName="Type of Applicant" ma:format="Dropdown" ma:internalName="TypeofApplicant">
      <xsd:simpleType>
        <xsd:restriction base="dms:Choice">
          <xsd:enumeration value="Government Entity"/>
          <xsd:enumeration value="Participating City"/>
          <xsd:enumeration value="Non-Profit"/>
          <xsd:enumeration value="Resident Request"/>
          <xsd:enumeration value="Other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00aae-6f19-43c9-849c-be0786fba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E84B8-EF8B-426E-A68E-1DF85508B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5EF96-19E1-4C02-A4EF-38904A6675D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ab00aae-6f19-43c9-849c-be0786fba438"/>
    <ds:schemaRef ds:uri="http://schemas.microsoft.com/office/2006/documentManagement/types"/>
    <ds:schemaRef ds:uri="ad3477d3-22c6-4883-9286-1871e200e4f7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7BE145-BD38-43C6-85EC-ED7D32ED2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EF56D-3DAC-49DC-BC9A-559339391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477d3-22c6-4883-9286-1871e200e4f7"/>
    <ds:schemaRef ds:uri="fab00aae-6f19-43c9-849c-be0786fba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2405</Characters>
  <DocSecurity>0</DocSecurity>
  <Lines>20</Lines>
  <Paragraphs>5</Paragraphs>
  <ScaleCrop>false</ScaleCrop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2024-01-22T22:27:00Z</cp:lastPrinted>
  <dcterms:created xsi:type="dcterms:W3CDTF">2025-01-15T16:56:00Z</dcterms:created>
  <dcterms:modified xsi:type="dcterms:W3CDTF">2025-01-15T16:57:00Z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0x010100DC956B3CCCD30F4DA1CB092F67E71ED0</vt:lpwstr>
  </property>
  <property fmtid="{D5CDD505-2E9C-101B-9397-08002B2CF9AE}" pid="4" name="MediaServiceImageTags">
    <vt:lpwstr/>
  </property>
</Properties>
</file>